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2B" w:rsidRPr="00BF7F15" w:rsidRDefault="001B722B" w:rsidP="001B722B">
      <w:pPr>
        <w:spacing w:line="240" w:lineRule="auto"/>
        <w:ind w:firstLine="708"/>
        <w:rPr>
          <w:rFonts w:ascii="Times New Roman" w:hAnsi="Times New Roman"/>
          <w:kern w:val="0"/>
          <w:sz w:val="28"/>
          <w:szCs w:val="28"/>
          <w:lang w:eastAsia="en-US"/>
        </w:rPr>
      </w:pP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The reflection (</w:t>
      </w:r>
      <w:r w:rsidRPr="00BF7F15">
        <w:rPr>
          <w:rFonts w:ascii="Cambria Math" w:hAnsi="Cambria Math"/>
          <w:kern w:val="0"/>
          <w:sz w:val="28"/>
          <w:szCs w:val="28"/>
          <w:lang w:eastAsia="en-US"/>
        </w:rPr>
        <w:t>𝝙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R/</w:t>
      </w:r>
      <w:r w:rsidRPr="00BF7F15">
        <w:rPr>
          <w:rFonts w:ascii="Cambria Math" w:hAnsi="Cambria Math"/>
          <w:kern w:val="0"/>
          <w:sz w:val="28"/>
          <w:szCs w:val="28"/>
          <w:lang w:eastAsia="en-US"/>
        </w:rPr>
        <w:t>𝝙𝞴)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, </w:t>
      </w:r>
      <w:r w:rsidRPr="00BF7F15">
        <w:rPr>
          <w:rFonts w:ascii="Cambria Math" w:hAnsi="Cambria Math"/>
          <w:kern w:val="0"/>
          <w:sz w:val="28"/>
          <w:szCs w:val="28"/>
          <w:lang w:eastAsia="en-US"/>
        </w:rPr>
        <w:t xml:space="preserve">transmission 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(</w:t>
      </w:r>
      <w:r w:rsidRPr="00BF7F15">
        <w:rPr>
          <w:rFonts w:ascii="Cambria Math" w:hAnsi="Cambria Math"/>
          <w:kern w:val="0"/>
          <w:sz w:val="28"/>
          <w:szCs w:val="28"/>
          <w:lang w:eastAsia="en-US"/>
        </w:rPr>
        <w:t>𝝙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Т/</w:t>
      </w:r>
      <w:r w:rsidRPr="00BF7F15">
        <w:rPr>
          <w:rFonts w:ascii="Cambria Math" w:hAnsi="Cambria Math"/>
          <w:kern w:val="0"/>
          <w:sz w:val="28"/>
          <w:szCs w:val="28"/>
          <w:lang w:eastAsia="en-US"/>
        </w:rPr>
        <w:t xml:space="preserve">𝝙𝞴), and 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absorption spectra modulated by wavelength</w:t>
      </w:r>
      <w:r w:rsidRPr="00BF7F15">
        <w:rPr>
          <w:rFonts w:ascii="Cambria Math" w:hAnsi="Cambria Math"/>
          <w:kern w:val="0"/>
          <w:sz w:val="28"/>
          <w:szCs w:val="28"/>
          <w:lang w:eastAsia="en-US"/>
        </w:rPr>
        <w:t xml:space="preserve"> 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of </w:t>
      </w:r>
      <w:proofErr w:type="spellStart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GaSe</w:t>
      </w:r>
      <w:proofErr w:type="spellEnd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 crystals had been investigated at 10-300K and compared with the luminescence spectra. The parameters of </w:t>
      </w:r>
      <w:proofErr w:type="spellStart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excitonic</w:t>
      </w:r>
      <w:proofErr w:type="spellEnd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 series for С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>1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-V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 xml:space="preserve">1 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zones were determined. </w:t>
      </w:r>
      <w:proofErr w:type="spellStart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Exciton</w:t>
      </w:r>
      <w:proofErr w:type="spellEnd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 parameters, including longitudinal-transverse splitting of the fund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>a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mental state of </w:t>
      </w:r>
      <w:proofErr w:type="spellStart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excitonic</w:t>
      </w:r>
      <w:proofErr w:type="spellEnd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polaritons</w:t>
      </w:r>
      <w:proofErr w:type="spellEnd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 were determined. The doublet presence of the transversal </w:t>
      </w:r>
      <w:proofErr w:type="spellStart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excitonic</w:t>
      </w:r>
      <w:proofErr w:type="spellEnd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polariton</w:t>
      </w:r>
      <w:proofErr w:type="spellEnd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 mode (</w:t>
      </w:r>
      <w:r w:rsidRPr="00BF7F15">
        <w:rPr>
          <w:rFonts w:ascii="Cambria Math" w:hAnsi="Cambria Math"/>
          <w:kern w:val="0"/>
          <w:sz w:val="28"/>
          <w:szCs w:val="28"/>
          <w:lang w:eastAsia="en-US"/>
        </w:rPr>
        <w:t>𝛚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>Т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) was discovered.  The fundamental (n=1) and excited states (n=</w:t>
      </w:r>
      <w:proofErr w:type="gramStart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1,3..</w:t>
      </w:r>
      <w:proofErr w:type="gramEnd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E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>g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) of two new </w:t>
      </w:r>
      <w:proofErr w:type="spellStart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exciton</w:t>
      </w:r>
      <w:proofErr w:type="spellEnd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 series caused by the C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>2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-V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 xml:space="preserve">1  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and С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>3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-V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 xml:space="preserve">1 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zones had been determined, and the parameters of the </w:t>
      </w:r>
      <w:proofErr w:type="spellStart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exciton</w:t>
      </w:r>
      <w:proofErr w:type="spellEnd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 series were calculated. The up-conversion of luminescence from high-energy </w:t>
      </w:r>
      <w:proofErr w:type="spellStart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excitonic</w:t>
      </w:r>
      <w:proofErr w:type="spellEnd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 levels (Е &gt; 3eV) was studied. The electrons are resonantly excited from V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>1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(G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>1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) towards C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>1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(G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>6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) and C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>2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(G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>5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) zones with a further transition to higher energy levels С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>3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-С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>6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 and the luminescence from the </w:t>
      </w:r>
      <w:proofErr w:type="spellStart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excitonic</w:t>
      </w:r>
      <w:proofErr w:type="spellEnd"/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 levels of C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>3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>-С</w:t>
      </w:r>
      <w:r w:rsidRPr="00BF7F15">
        <w:rPr>
          <w:rFonts w:ascii="Times New Roman" w:hAnsi="Times New Roman"/>
          <w:kern w:val="0"/>
          <w:sz w:val="28"/>
          <w:szCs w:val="28"/>
          <w:vertAlign w:val="subscript"/>
          <w:lang w:eastAsia="en-US"/>
        </w:rPr>
        <w:t xml:space="preserve">6 </w:t>
      </w:r>
      <w:r w:rsidRPr="00BF7F15">
        <w:rPr>
          <w:rFonts w:ascii="Times New Roman" w:hAnsi="Times New Roman"/>
          <w:kern w:val="0"/>
          <w:sz w:val="28"/>
          <w:szCs w:val="28"/>
          <w:lang w:eastAsia="en-US"/>
        </w:rPr>
        <w:t xml:space="preserve">zones towards valence zones. The zone model in the center of Brillouin zone was constructed based on the obtained data.    </w:t>
      </w:r>
    </w:p>
    <w:p w:rsidR="0053196C" w:rsidRDefault="0053196C">
      <w:bookmarkStart w:id="0" w:name="_GoBack"/>
      <w:bookmarkEnd w:id="0"/>
    </w:p>
    <w:sectPr w:rsidR="0053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2B"/>
    <w:rsid w:val="001B722B"/>
    <w:rsid w:val="005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133F-9CF4-4F0B-8412-2188738C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722B"/>
    <w:pPr>
      <w:widowControl w:val="0"/>
      <w:autoSpaceDN w:val="0"/>
      <w:spacing w:after="200" w:line="276" w:lineRule="auto"/>
      <w:jc w:val="both"/>
      <w:textAlignment w:val="baseline"/>
    </w:pPr>
    <w:rPr>
      <w:rFonts w:ascii="Calibri" w:eastAsia="Calibri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ZBOOK</dc:creator>
  <cp:keywords/>
  <dc:description/>
  <cp:lastModifiedBy>ZBOOK</cp:lastModifiedBy>
  <cp:revision>1</cp:revision>
  <dcterms:created xsi:type="dcterms:W3CDTF">2020-07-07T08:46:00Z</dcterms:created>
  <dcterms:modified xsi:type="dcterms:W3CDTF">2020-07-07T08:46:00Z</dcterms:modified>
</cp:coreProperties>
</file>